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end"/>
        <w:rPr>
          <w:rFonts w:eastAsia="Malgun Gothic Semilight" w:cs="Arial"/>
          <w:i/>
          <w:i/>
          <w:color w:themeColor="text1" w:themeTint="80" w:val="7F7F7F"/>
          <w:sz w:val="28"/>
          <w:szCs w:val="28"/>
        </w:rPr>
      </w:pPr>
      <w:r>
        <w:rPr>
          <w:rFonts w:eastAsia="Malgun Gothic Semilight" w:cs="Arial"/>
          <w:i/>
          <w:color w:themeColor="text1" w:themeTint="80" w:val="7F7F7F"/>
          <w:sz w:val="28"/>
          <w:szCs w:val="28"/>
        </w:rPr>
        <w:drawing>
          <wp:anchor behindDoc="0" distT="0" distB="0" distL="114300" distR="114300" simplePos="0" locked="0" layoutInCell="0" allowOverlap="1" relativeHeight="2">
            <wp:simplePos x="0" y="0"/>
            <wp:positionH relativeFrom="margin">
              <wp:align>center</wp:align>
            </wp:positionH>
            <wp:positionV relativeFrom="margin">
              <wp:posOffset>-133350</wp:posOffset>
            </wp:positionV>
            <wp:extent cx="2627630" cy="972820"/>
            <wp:effectExtent l="0" t="0" r="0" b="0"/>
            <wp:wrapTight wrapText="bothSides">
              <wp:wrapPolygon edited="0">
                <wp:start x="3444" y="1687"/>
                <wp:lineTo x="782" y="2538"/>
                <wp:lineTo x="470" y="3383"/>
                <wp:lineTo x="312" y="11843"/>
                <wp:lineTo x="1095" y="19034"/>
                <wp:lineTo x="2191" y="19456"/>
                <wp:lineTo x="17225" y="20301"/>
                <wp:lineTo x="18007" y="20301"/>
                <wp:lineTo x="20825" y="19456"/>
                <wp:lineTo x="21296" y="17762"/>
                <wp:lineTo x="20670" y="16071"/>
                <wp:lineTo x="21453" y="10997"/>
                <wp:lineTo x="21453" y="1687"/>
                <wp:lineTo x="3444" y="1687"/>
              </wp:wrapPolygon>
            </wp:wrapTight>
            <wp:docPr id="1" name="Image 2" descr="Une image contenant texte, Police, capture d’écran,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Une image contenant texte, Police, capture d’écran, carte de visite&#10;&#10;Description générée automatiquement"/>
                    <pic:cNvPicPr>
                      <a:picLocks noChangeAspect="1" noChangeArrowheads="1"/>
                    </pic:cNvPicPr>
                  </pic:nvPicPr>
                  <pic:blipFill>
                    <a:blip r:embed="rId2"/>
                    <a:srcRect l="0" t="30793" r="0" b="32177"/>
                    <a:stretch>
                      <a:fillRect/>
                    </a:stretch>
                  </pic:blipFill>
                  <pic:spPr bwMode="auto">
                    <a:xfrm>
                      <a:off x="0" y="0"/>
                      <a:ext cx="2627630" cy="972820"/>
                    </a:xfrm>
                    <a:prstGeom prst="rect">
                      <a:avLst/>
                    </a:prstGeom>
                    <a:noFill/>
                  </pic:spPr>
                </pic:pic>
              </a:graphicData>
            </a:graphic>
          </wp:anchor>
        </w:drawing>
      </w:r>
    </w:p>
    <w:p>
      <w:pPr>
        <w:pStyle w:val="Normal"/>
        <w:spacing w:before="0" w:after="0"/>
        <w:ind w:end="594"/>
        <w:jc w:val="center"/>
        <w:rPr>
          <w:rFonts w:eastAsia="Malgun Gothic Semilight" w:cs="Arial"/>
          <w:i/>
          <w:i/>
          <w:color w:themeColor="text1" w:themeTint="80" w:val="7F7F7F"/>
          <w:sz w:val="72"/>
          <w:szCs w:val="72"/>
        </w:rPr>
      </w:pPr>
      <w:r>
        <w:rPr>
          <w:rFonts w:eastAsia="Malgun Gothic Semilight" w:cs="Arial"/>
          <w:i/>
          <w:color w:themeColor="text1" w:themeTint="80" w:val="7F7F7F"/>
          <w:sz w:val="72"/>
          <w:szCs w:val="72"/>
        </w:rPr>
      </w:r>
    </w:p>
    <w:p>
      <w:pPr>
        <w:pStyle w:val="Normal"/>
        <w:spacing w:before="0" w:after="0"/>
        <w:ind w:end="594"/>
        <w:jc w:val="center"/>
        <w:rPr>
          <w:rFonts w:eastAsia="Malgun Gothic Semilight" w:cs="Arial"/>
          <w:i/>
          <w:i/>
          <w:color w:themeColor="text1" w:themeTint="80" w:val="7F7F7F"/>
          <w:sz w:val="72"/>
          <w:szCs w:val="72"/>
        </w:rPr>
      </w:pPr>
      <w:r>
        <w:rPr>
          <w:rFonts w:eastAsia="Malgun Gothic Semilight" w:cs="Arial"/>
          <w:i/>
          <w:color w:themeColor="text1" w:themeTint="80" w:val="7F7F7F"/>
          <w:sz w:val="72"/>
          <w:szCs w:val="72"/>
        </w:rPr>
      </w:r>
    </w:p>
    <w:p>
      <w:pPr>
        <w:pStyle w:val="Normal"/>
        <w:pBdr>
          <w:bottom w:val="single" w:sz="4" w:space="1" w:color="000000"/>
        </w:pBdr>
        <w:spacing w:before="0" w:after="0"/>
        <w:ind w:end="594"/>
        <w:jc w:val="end"/>
        <w:rPr>
          <w:rFonts w:eastAsia="Malgun Gothic Semilight" w:cs="Arial"/>
          <w:color w:themeColor="text1" w:themeTint="80" w:val="7F7F7F"/>
        </w:rPr>
      </w:pPr>
      <w:r>
        <w:rPr>
          <w:rFonts w:eastAsia="Malgun Gothic Semilight" w:cs="Arial"/>
          <w:color w:themeColor="text1" w:themeTint="80" w:val="7F7F7F"/>
        </w:rPr>
      </w:r>
    </w:p>
    <w:p>
      <w:pPr>
        <w:pStyle w:val="Normal"/>
        <w:spacing w:before="0" w:after="0"/>
        <w:ind w:end="594"/>
        <w:rPr>
          <w:rFonts w:eastAsia="Malgun Gothic Semilight" w:cs="Arial"/>
        </w:rPr>
      </w:pPr>
      <w:r>
        <w:rPr>
          <w:rFonts w:eastAsia="Malgun Gothic Semilight" w:cs="Arial"/>
        </w:rPr>
      </w:r>
    </w:p>
    <w:p>
      <w:pPr>
        <w:pStyle w:val="Normal"/>
        <w:spacing w:before="0" w:after="0"/>
        <w:ind w:end="594"/>
        <w:jc w:val="center"/>
        <w:rPr>
          <w:rFonts w:cs="Arial"/>
          <w:b/>
          <w:sz w:val="36"/>
          <w:szCs w:val="36"/>
        </w:rPr>
      </w:pPr>
      <w:r>
        <w:rPr>
          <w:rFonts w:cs="Arial"/>
          <w:b/>
          <w:sz w:val="36"/>
          <w:szCs w:val="36"/>
        </w:rPr>
        <w:t xml:space="preserve">         </w:t>
      </w:r>
      <w:r>
        <w:rPr>
          <w:rFonts w:cs="Arial"/>
          <w:b/>
          <w:sz w:val="36"/>
          <w:szCs w:val="36"/>
        </w:rPr>
        <w:t xml:space="preserve">INTERVENANT(E) </w:t>
      </w:r>
    </w:p>
    <w:p>
      <w:pPr>
        <w:pStyle w:val="Normal"/>
        <w:spacing w:before="0" w:after="0"/>
        <w:ind w:end="594"/>
        <w:jc w:val="center"/>
        <w:rPr>
          <w:rFonts w:cs="Arial"/>
          <w:b/>
          <w:sz w:val="36"/>
          <w:szCs w:val="36"/>
        </w:rPr>
      </w:pPr>
      <w:r>
        <w:rPr>
          <w:rFonts w:cs="Arial"/>
          <w:b/>
          <w:sz w:val="36"/>
          <w:szCs w:val="36"/>
        </w:rPr>
        <w:t>ALTERNATIVES À LA DÉTENTION</w:t>
      </w:r>
    </w:p>
    <w:p>
      <w:pPr>
        <w:pStyle w:val="Normal"/>
        <w:pBdr>
          <w:bottom w:val="single" w:sz="4" w:space="1" w:color="000000"/>
        </w:pBdr>
        <w:tabs>
          <w:tab w:val="clear" w:pos="708"/>
          <w:tab w:val="left" w:pos="8080" w:leader="none"/>
        </w:tabs>
        <w:spacing w:before="0" w:after="0"/>
        <w:ind w:end="594"/>
        <w:rPr>
          <w:rFonts w:cs="Arial"/>
          <w:b/>
        </w:rPr>
      </w:pPr>
      <w:r>
        <w:rPr>
          <w:rFonts w:cs="Arial"/>
          <w:b/>
        </w:rPr>
      </w:r>
    </w:p>
    <w:p>
      <w:pPr>
        <w:pStyle w:val="Subtitle"/>
        <w:numPr>
          <w:ilvl w:val="0"/>
          <w:numId w:val="0"/>
        </w:numPr>
        <w:ind w:hanging="0" w:start="360"/>
        <w:rPr>
          <w:rFonts w:cs="Arial"/>
          <w:b w:val="false"/>
        </w:rPr>
      </w:pPr>
      <w:r>
        <w:rPr>
          <w:rFonts w:cs="Arial"/>
          <w:b w:val="false"/>
        </w:rPr>
      </w:r>
    </w:p>
    <w:p>
      <w:pPr>
        <w:pStyle w:val="Heading1"/>
        <w:rPr/>
      </w:pPr>
      <w:r>
        <w:rPr/>
        <w:t>Description du poste</w:t>
      </w:r>
    </w:p>
    <w:p>
      <w:pPr>
        <w:pStyle w:val="Normal"/>
        <w:rPr/>
      </w:pPr>
      <w:r>
        <w:rPr/>
      </w:r>
    </w:p>
    <w:p>
      <w:pPr>
        <w:pStyle w:val="Normal"/>
        <w:spacing w:lineRule="auto" w:line="276"/>
        <w:rPr>
          <w:rFonts w:cs="Arial"/>
          <w:color w:val="000000"/>
        </w:rPr>
      </w:pPr>
      <w:r>
        <w:rPr>
          <w:rFonts w:cs="Arial"/>
          <w:color w:val="000000"/>
        </w:rPr>
        <w:t>Sous la supervision du coordonnateur ou de la coordonnatrice du service de gestion et de contrôle des cas communautaires (CCMS), appuyé par l’Agence des services frontaliers du Canada (ASFC), l’intervenant(e) est responsable d’assurer le suivi et l’accompagnement des volontaires (la clientèle desservie) dans leur processus de réhabilitation sociale. Les services visent à offrir des alternatives spécialisées et adaptées aux besoins des volontaires, plus particulièrement aux personnes sans statut canadien, à la suite de leur détention. La personne titulaire du poste doit à la fois intervenir auprès de cette clientèle de même que gérer activement la logistique des services offerts. La personne titulaire du poste est plus spécifiquement appelée à :</w:t>
      </w:r>
    </w:p>
    <w:p>
      <w:pPr>
        <w:pStyle w:val="Normal"/>
        <w:spacing w:lineRule="auto" w:line="276"/>
        <w:rPr>
          <w:rFonts w:cs="Arial"/>
          <w:color w:val="000000"/>
        </w:rPr>
      </w:pPr>
      <w:r>
        <w:rPr>
          <w:rFonts w:cs="Arial"/>
          <w:color w:val="000000"/>
        </w:rPr>
      </w:r>
    </w:p>
    <w:p>
      <w:pPr>
        <w:pStyle w:val="Heading2"/>
        <w:rPr/>
      </w:pPr>
      <w:r>
        <w:rPr>
          <w:shd w:fill="FFFFFF" w:val="clear"/>
        </w:rPr>
        <w:t>Intervention clinique</w:t>
      </w:r>
    </w:p>
    <w:p>
      <w:pPr>
        <w:pStyle w:val="Normal"/>
        <w:spacing w:before="0" w:after="0"/>
        <w:ind w:end="594"/>
        <w:rPr>
          <w:rFonts w:cs="Arial"/>
          <w:color w:val="000000"/>
          <w:lang w:val="pt-PT"/>
        </w:rPr>
      </w:pPr>
      <w:r>
        <w:rPr>
          <w:rFonts w:cs="Arial"/>
          <w:color w:val="000000"/>
          <w:lang w:val="pt-PT"/>
        </w:rPr>
      </w:r>
    </w:p>
    <w:p>
      <w:pPr>
        <w:pStyle w:val="Normal"/>
        <w:numPr>
          <w:ilvl w:val="0"/>
          <w:numId w:val="3"/>
        </w:numPr>
        <w:rPr>
          <w:lang w:eastAsia="en-CA"/>
        </w:rPr>
      </w:pPr>
      <w:r>
        <w:rPr>
          <w:lang w:eastAsia="en-CA"/>
        </w:rPr>
        <w:t>Préparer, effectuer et faciliter la tenue de rencontres planifiées avec les volontaires afin de leur offrir le soutien et l’accompagnement nécessaire pour assurer la réalisation de leur plan de vie ;</w:t>
      </w:r>
    </w:p>
    <w:p>
      <w:pPr>
        <w:pStyle w:val="Normal"/>
        <w:numPr>
          <w:ilvl w:val="0"/>
          <w:numId w:val="3"/>
        </w:numPr>
        <w:rPr>
          <w:lang w:eastAsia="en-CA"/>
        </w:rPr>
      </w:pPr>
      <w:r>
        <w:rPr>
          <w:lang w:eastAsia="en-CA"/>
        </w:rPr>
        <w:t>Faire des appels sporadiques et des visites de suivi hebdomadaires auprès de la clientèle pour garantir leur état de santé, le respect de leurs conditions, ou tout autre aspect pertinent ;</w:t>
      </w:r>
    </w:p>
    <w:p>
      <w:pPr>
        <w:pStyle w:val="Normal"/>
        <w:numPr>
          <w:ilvl w:val="0"/>
          <w:numId w:val="3"/>
        </w:numPr>
        <w:rPr>
          <w:lang w:eastAsia="en-CA"/>
        </w:rPr>
      </w:pPr>
      <w:r>
        <w:rPr>
          <w:lang w:eastAsia="en-CA"/>
        </w:rPr>
        <w:t>Accompagner les volontaires durant des sorties qui s’inscrivent dans la réalisation de leur plan de vie, dont celles en lien avec leur parcours d’immigration, leur milieu de bénévolat, leur passage à la cour, etc. ;</w:t>
      </w:r>
    </w:p>
    <w:p>
      <w:pPr>
        <w:pStyle w:val="Normal"/>
        <w:numPr>
          <w:ilvl w:val="0"/>
          <w:numId w:val="3"/>
        </w:numPr>
        <w:rPr>
          <w:lang w:eastAsia="en-CA"/>
        </w:rPr>
      </w:pPr>
      <w:r>
        <w:rPr>
          <w:lang w:eastAsia="en-CA"/>
        </w:rPr>
        <w:t>Offrir un service d’aide et d’intervention de première ligne adapté aux personnes en difficulté ou en situation de crise ;</w:t>
      </w:r>
    </w:p>
    <w:p>
      <w:pPr>
        <w:pStyle w:val="Normal"/>
        <w:numPr>
          <w:ilvl w:val="0"/>
          <w:numId w:val="3"/>
        </w:numPr>
        <w:rPr>
          <w:lang w:eastAsia="en-CA"/>
        </w:rPr>
      </w:pPr>
      <w:r>
        <w:rPr>
          <w:lang w:eastAsia="en-CA"/>
        </w:rPr>
        <w:t>Faire de la prévention et de la sensibilisation auprès des personnes rejointes par la Société John Howard du Québec ;</w:t>
      </w:r>
    </w:p>
    <w:p>
      <w:pPr>
        <w:pStyle w:val="Normal"/>
        <w:numPr>
          <w:ilvl w:val="0"/>
          <w:numId w:val="3"/>
        </w:numPr>
        <w:rPr>
          <w:lang w:eastAsia="en-CA"/>
        </w:rPr>
      </w:pPr>
      <w:r>
        <w:rPr>
          <w:lang w:eastAsia="en-CA"/>
        </w:rPr>
        <w:t>Assurer une présence constante, réconfortante et rassurante auprès de la clientèle notamment en solutionnant leurs problèmes et en les orientant vers les ressources appropriées selon les exigences de leur plan de vie.</w:t>
      </w:r>
    </w:p>
    <w:p>
      <w:pPr>
        <w:pStyle w:val="Normal"/>
        <w:rPr>
          <w:lang w:eastAsia="en-CA"/>
        </w:rPr>
      </w:pPr>
      <w:r>
        <w:rPr>
          <w:lang w:eastAsia="en-CA"/>
        </w:rPr>
      </w:r>
    </w:p>
    <w:p>
      <w:pPr>
        <w:pStyle w:val="Normal"/>
        <w:rPr>
          <w:lang w:eastAsia="en-CA"/>
        </w:rPr>
      </w:pPr>
      <w:r>
        <w:rPr>
          <w:lang w:eastAsia="en-CA"/>
        </w:rPr>
      </w:r>
    </w:p>
    <w:p>
      <w:pPr>
        <w:pStyle w:val="Heading2"/>
        <w:rPr>
          <w:lang w:eastAsia="en-CA"/>
        </w:rPr>
      </w:pPr>
      <w:r>
        <w:rPr>
          <w:lang w:eastAsia="en-CA"/>
        </w:rPr>
        <w:t>Gestion de cas</w:t>
      </w:r>
    </w:p>
    <w:p>
      <w:pPr>
        <w:pStyle w:val="Normal"/>
        <w:rPr>
          <w:lang w:eastAsia="en-CA"/>
        </w:rPr>
      </w:pPr>
      <w:r>
        <w:rPr>
          <w:lang w:eastAsia="en-CA"/>
        </w:rPr>
      </w:r>
    </w:p>
    <w:p>
      <w:pPr>
        <w:pStyle w:val="Normal"/>
        <w:numPr>
          <w:ilvl w:val="0"/>
          <w:numId w:val="4"/>
        </w:numPr>
        <w:rPr>
          <w:lang w:eastAsia="en-CA"/>
        </w:rPr>
      </w:pPr>
      <w:r>
        <w:rPr>
          <w:lang w:eastAsia="en-CA"/>
        </w:rPr>
        <w:t>Préparer et évaluer l’admissibilité des potentiels(les) volontaires en utilisant les critères appropriés, dont la disponibilité des ressources internes, le niveau de risque et l’engagement de la personne ;</w:t>
      </w:r>
    </w:p>
    <w:p>
      <w:pPr>
        <w:pStyle w:val="Normal"/>
        <w:numPr>
          <w:ilvl w:val="0"/>
          <w:numId w:val="4"/>
        </w:numPr>
        <w:rPr>
          <w:lang w:eastAsia="en-CA"/>
        </w:rPr>
      </w:pPr>
      <w:r>
        <w:rPr>
          <w:lang w:eastAsia="en-CA"/>
        </w:rPr>
        <w:t>Procéder à l’inscription des volontaires aux services ;</w:t>
      </w:r>
    </w:p>
    <w:p>
      <w:pPr>
        <w:pStyle w:val="Normal"/>
        <w:numPr>
          <w:ilvl w:val="0"/>
          <w:numId w:val="4"/>
        </w:numPr>
        <w:rPr>
          <w:lang w:eastAsia="en-CA"/>
        </w:rPr>
      </w:pPr>
      <w:r>
        <w:rPr>
          <w:lang w:eastAsia="en-CA"/>
        </w:rPr>
        <w:t>Recueillir toutes les données jugées pertinentes concernant les caractéristiques et les besoins des volontaires et les mettre dans leur dossier de gestion de l'information ;</w:t>
      </w:r>
    </w:p>
    <w:p>
      <w:pPr>
        <w:pStyle w:val="Normal"/>
        <w:numPr>
          <w:ilvl w:val="0"/>
          <w:numId w:val="4"/>
        </w:numPr>
        <w:rPr>
          <w:lang w:eastAsia="en-CA"/>
        </w:rPr>
      </w:pPr>
      <w:r>
        <w:rPr>
          <w:lang w:eastAsia="en-CA"/>
        </w:rPr>
        <w:t>Établir des plans d’évaluations des risques, des examens de conformité et assister le.la coordonnateur(trice) du service CCMS dans l’élaboration des plans de vie adaptés aux besoins et aux désirs des volontaires ;</w:t>
      </w:r>
    </w:p>
    <w:p>
      <w:pPr>
        <w:pStyle w:val="Normal"/>
        <w:numPr>
          <w:ilvl w:val="0"/>
          <w:numId w:val="4"/>
        </w:numPr>
        <w:rPr>
          <w:lang w:eastAsia="en-CA"/>
        </w:rPr>
      </w:pPr>
      <w:r>
        <w:rPr>
          <w:lang w:eastAsia="en-CA"/>
        </w:rPr>
        <w:t>Rédiger des notes quotidiennes (telles que les comptes rendus des rencontres hebdomadaires, des sorties ou des rapports d’incident) et l’inscrire dans le dossier des volontaires, par le biais de la base de données CAMS ;</w:t>
      </w:r>
    </w:p>
    <w:p>
      <w:pPr>
        <w:pStyle w:val="Normal"/>
        <w:numPr>
          <w:ilvl w:val="0"/>
          <w:numId w:val="4"/>
        </w:numPr>
        <w:rPr>
          <w:lang w:eastAsia="en-CA"/>
        </w:rPr>
      </w:pPr>
      <w:r>
        <w:rPr>
          <w:lang w:eastAsia="en-CA"/>
        </w:rPr>
        <w:t>Assurer la conformité des procédures et des protocoles exigés par l’ASFC ;</w:t>
      </w:r>
    </w:p>
    <w:p>
      <w:pPr>
        <w:pStyle w:val="Normal"/>
        <w:numPr>
          <w:ilvl w:val="0"/>
          <w:numId w:val="4"/>
        </w:numPr>
        <w:rPr>
          <w:lang w:eastAsia="en-CA"/>
        </w:rPr>
      </w:pPr>
      <w:r>
        <w:rPr>
          <w:lang w:eastAsia="en-CA"/>
        </w:rPr>
        <w:t>Tenir à jour les dossiers des volontaires ; § Effectuer des suivis au coordonnateur ou à la coordonnatrice du service CCMS ;</w:t>
      </w:r>
    </w:p>
    <w:p>
      <w:pPr>
        <w:pStyle w:val="Normal"/>
        <w:numPr>
          <w:ilvl w:val="0"/>
          <w:numId w:val="4"/>
        </w:numPr>
        <w:rPr>
          <w:lang w:eastAsia="en-CA"/>
        </w:rPr>
      </w:pPr>
      <w:r>
        <w:rPr>
          <w:lang w:eastAsia="en-CA"/>
        </w:rPr>
        <w:t>Communiquer fréquemment avec les autres professionnels(elles) impliqués(es) auprès des volontaires (comme les intervenants(es), l’équipe traitante ou celle de la ressource d’hébergement) afin d’assurer une collaboration fructueuse et, par le fait même, la réussite du plan de vie ;</w:t>
      </w:r>
    </w:p>
    <w:p>
      <w:pPr>
        <w:pStyle w:val="Normal"/>
        <w:numPr>
          <w:ilvl w:val="0"/>
          <w:numId w:val="4"/>
        </w:numPr>
        <w:rPr>
          <w:lang w:eastAsia="en-CA"/>
        </w:rPr>
      </w:pPr>
      <w:r>
        <w:rPr>
          <w:lang w:eastAsia="en-CA"/>
        </w:rPr>
        <w:t>Faire des recherches et solliciter les ressources communautaires ou de partenariats potentiels pour aider la clientèle ;</w:t>
      </w:r>
    </w:p>
    <w:p>
      <w:pPr>
        <w:pStyle w:val="Normal"/>
        <w:numPr>
          <w:ilvl w:val="0"/>
          <w:numId w:val="4"/>
        </w:numPr>
        <w:rPr>
          <w:lang w:eastAsia="en-CA"/>
        </w:rPr>
      </w:pPr>
      <w:r>
        <w:rPr>
          <w:lang w:eastAsia="en-CA"/>
        </w:rPr>
        <w:t>Participer activement aux rencontres cliniques hebdomadaires.</w:t>
      </w:r>
    </w:p>
    <w:p>
      <w:pPr>
        <w:pStyle w:val="Normal"/>
        <w:rPr>
          <w:shd w:fill="FFFFFF" w:val="clear"/>
        </w:rPr>
      </w:pPr>
      <w:r>
        <w:rPr>
          <w:shd w:fill="FFFFFF" w:val="clear"/>
        </w:rPr>
        <w:t>La personne titulaire du poste peut également être appelée à réaliser toutes autres tâches ou projets connexes.</w:t>
      </w:r>
    </w:p>
    <w:p>
      <w:pPr>
        <w:pStyle w:val="Normal"/>
        <w:rPr>
          <w:lang w:eastAsia="en-CA"/>
        </w:rPr>
      </w:pPr>
      <w:r>
        <w:rPr>
          <w:lang w:eastAsia="en-CA"/>
        </w:rPr>
      </w:r>
    </w:p>
    <w:p>
      <w:pPr>
        <w:pStyle w:val="Heading1"/>
        <w:rPr>
          <w:lang w:eastAsia="en-CA"/>
        </w:rPr>
      </w:pPr>
      <w:r>
        <w:rPr>
          <w:lang w:eastAsia="en-CA"/>
        </w:rPr>
        <w:t>Scolarité et expérience</w:t>
      </w:r>
    </w:p>
    <w:p>
      <w:pPr>
        <w:pStyle w:val="Normal"/>
        <w:rPr>
          <w:lang w:eastAsia="en-CA"/>
        </w:rPr>
      </w:pPr>
      <w:r>
        <w:rPr>
          <w:lang w:eastAsia="en-CA"/>
        </w:rPr>
      </w:r>
    </w:p>
    <w:p>
      <w:pPr>
        <w:pStyle w:val="Normal"/>
        <w:numPr>
          <w:ilvl w:val="0"/>
          <w:numId w:val="4"/>
        </w:numPr>
        <w:rPr>
          <w:lang w:eastAsia="en-CA"/>
        </w:rPr>
      </w:pPr>
      <w:r>
        <w:rPr>
          <w:lang w:eastAsia="en-CA"/>
        </w:rPr>
        <w:t>Détenir un diplôme d’études collégiales (DEC) en travail social, en éducation spécialisée, en intervention en délinquance ou une autre formation équivalente ;</w:t>
      </w:r>
    </w:p>
    <w:p>
      <w:pPr>
        <w:pStyle w:val="Normal"/>
        <w:numPr>
          <w:ilvl w:val="0"/>
          <w:numId w:val="4"/>
        </w:numPr>
        <w:rPr>
          <w:lang w:eastAsia="en-CA"/>
        </w:rPr>
      </w:pPr>
      <w:r>
        <w:rPr>
          <w:lang w:eastAsia="en-CA"/>
        </w:rPr>
        <w:t>Détenir un baccalauréat ou un certificat en travail social ou en criminologie (un atout) ;</w:t>
      </w:r>
    </w:p>
    <w:p>
      <w:pPr>
        <w:pStyle w:val="Normal"/>
        <w:numPr>
          <w:ilvl w:val="0"/>
          <w:numId w:val="4"/>
        </w:numPr>
        <w:rPr>
          <w:lang w:eastAsia="en-CA"/>
        </w:rPr>
      </w:pPr>
      <w:r>
        <w:rPr>
          <w:lang w:eastAsia="en-CA"/>
        </w:rPr>
        <w:t>Posséder entre deux (2) et cinq (5) d’expérience en intervention sociale, psychosociale ou toute autre expérience professionnelle pertinente ; § Maîtrise du français, tant à l’oral qu’à l’écrit ;</w:t>
      </w:r>
    </w:p>
    <w:p>
      <w:pPr>
        <w:pStyle w:val="Normal"/>
        <w:numPr>
          <w:ilvl w:val="0"/>
          <w:numId w:val="4"/>
        </w:numPr>
        <w:rPr>
          <w:lang w:eastAsia="en-CA"/>
        </w:rPr>
      </w:pPr>
      <w:r>
        <w:rPr>
          <w:lang w:eastAsia="en-CA"/>
        </w:rPr>
        <w:t>Maîtrise d’une langue seconde, telle que l’anglais, l’espagnol, l’arable, le russe, etc. (un atout) ;</w:t>
      </w:r>
    </w:p>
    <w:p>
      <w:pPr>
        <w:pStyle w:val="Normal"/>
        <w:numPr>
          <w:ilvl w:val="0"/>
          <w:numId w:val="4"/>
        </w:numPr>
        <w:rPr>
          <w:lang w:eastAsia="en-CA"/>
        </w:rPr>
      </w:pPr>
      <w:r>
        <w:rPr>
          <w:lang w:eastAsia="en-CA"/>
        </w:rPr>
        <w:t>Maîtrise de niveau intermédiaire de certains logiciels informatiques, dont la suite Office, Adobe Acrobat et Winzip ; § Posséder des connaissances ou de l’expérience auprès de la clientèle criminalisée ou vulnérable (un atout) ;</w:t>
      </w:r>
    </w:p>
    <w:p>
      <w:pPr>
        <w:pStyle w:val="ListParagraph"/>
        <w:numPr>
          <w:ilvl w:val="0"/>
          <w:numId w:val="5"/>
        </w:numPr>
        <w:rPr>
          <w:lang w:eastAsia="en-CA"/>
        </w:rPr>
      </w:pPr>
      <w:r>
        <w:rPr>
          <w:lang w:eastAsia="en-CA"/>
        </w:rPr>
        <w:t>Posséder de l’expérience au sein d’un organisme communautaire (un atout).</w:t>
      </w:r>
    </w:p>
    <w:p>
      <w:pPr>
        <w:pStyle w:val="Normal"/>
        <w:rPr>
          <w:lang w:eastAsia="en-CA"/>
        </w:rPr>
      </w:pPr>
      <w:r>
        <w:rPr>
          <w:lang w:eastAsia="en-CA"/>
        </w:rPr>
      </w:r>
    </w:p>
    <w:p>
      <w:pPr>
        <w:pStyle w:val="Heading1"/>
        <w:rPr>
          <w:lang w:eastAsia="en-CA"/>
        </w:rPr>
      </w:pPr>
      <w:r>
        <w:rPr>
          <w:lang w:eastAsia="en-CA"/>
        </w:rPr>
        <w:t>Compétences requises</w:t>
      </w:r>
    </w:p>
    <w:p>
      <w:pPr>
        <w:pStyle w:val="Normal"/>
        <w:rPr>
          <w:lang w:eastAsia="en-CA"/>
        </w:rPr>
      </w:pPr>
      <w:r>
        <w:rPr>
          <w:lang w:eastAsia="en-CA"/>
        </w:rPr>
      </w:r>
    </w:p>
    <w:p>
      <w:pPr>
        <w:pStyle w:val="Normal"/>
        <w:numPr>
          <w:ilvl w:val="0"/>
          <w:numId w:val="4"/>
        </w:numPr>
        <w:rPr>
          <w:lang w:eastAsia="en-CA"/>
        </w:rPr>
      </w:pPr>
      <w:r>
        <w:rPr>
          <w:lang w:eastAsia="en-CA"/>
        </w:rPr>
        <w:t>Avoir un sens de l’analyse et du jugement aiguisé ;</w:t>
      </w:r>
    </w:p>
    <w:p>
      <w:pPr>
        <w:pStyle w:val="Normal"/>
        <w:numPr>
          <w:ilvl w:val="0"/>
          <w:numId w:val="4"/>
        </w:numPr>
        <w:rPr>
          <w:lang w:eastAsia="en-CA"/>
        </w:rPr>
      </w:pPr>
      <w:r>
        <w:rPr>
          <w:lang w:eastAsia="en-CA"/>
        </w:rPr>
        <w:t>Être empathique, faire preuve de patience et d’écoute active ;</w:t>
      </w:r>
    </w:p>
    <w:p>
      <w:pPr>
        <w:pStyle w:val="Normal"/>
        <w:numPr>
          <w:ilvl w:val="0"/>
          <w:numId w:val="4"/>
        </w:numPr>
        <w:rPr>
          <w:lang w:eastAsia="en-CA"/>
        </w:rPr>
      </w:pPr>
      <w:r>
        <w:rPr>
          <w:lang w:eastAsia="en-CA"/>
        </w:rPr>
        <w:t>Être doté d’une éthique professionnelle irréprochable ;</w:t>
      </w:r>
    </w:p>
    <w:p>
      <w:pPr>
        <w:pStyle w:val="Normal"/>
        <w:numPr>
          <w:ilvl w:val="0"/>
          <w:numId w:val="4"/>
        </w:numPr>
        <w:rPr>
          <w:lang w:eastAsia="en-CA"/>
        </w:rPr>
      </w:pPr>
      <w:r>
        <w:rPr>
          <w:lang w:eastAsia="en-CA"/>
        </w:rPr>
        <w:t>Être admissible à une cote de sécurité ;</w:t>
      </w:r>
    </w:p>
    <w:p>
      <w:pPr>
        <w:pStyle w:val="Normal"/>
        <w:numPr>
          <w:ilvl w:val="0"/>
          <w:numId w:val="4"/>
        </w:numPr>
        <w:rPr>
          <w:lang w:eastAsia="en-CA"/>
        </w:rPr>
      </w:pPr>
      <w:r>
        <w:rPr>
          <w:lang w:eastAsia="en-CA"/>
        </w:rPr>
        <w:t>Démontré une excellente tolérance aux situations délicates, stressantes ou complexes ;</w:t>
      </w:r>
    </w:p>
    <w:p>
      <w:pPr>
        <w:pStyle w:val="Normal"/>
        <w:numPr>
          <w:ilvl w:val="0"/>
          <w:numId w:val="4"/>
        </w:numPr>
        <w:rPr>
          <w:lang w:eastAsia="en-CA"/>
        </w:rPr>
      </w:pPr>
      <w:r>
        <w:rPr>
          <w:lang w:eastAsia="en-CA"/>
        </w:rPr>
        <w:t>Avoir une réelle aptitude de résolution de problèmes ou de crise ;</w:t>
      </w:r>
    </w:p>
    <w:p>
      <w:pPr>
        <w:pStyle w:val="Normal"/>
        <w:numPr>
          <w:ilvl w:val="0"/>
          <w:numId w:val="4"/>
        </w:numPr>
        <w:rPr>
          <w:lang w:eastAsia="en-CA"/>
        </w:rPr>
      </w:pPr>
      <w:r>
        <w:rPr>
          <w:lang w:eastAsia="en-CA"/>
        </w:rPr>
        <w:t>Être doté d’un sens de la collaboration et d’un fort esprit d’équipe ;</w:t>
      </w:r>
    </w:p>
    <w:p>
      <w:pPr>
        <w:pStyle w:val="Normal"/>
        <w:numPr>
          <w:ilvl w:val="0"/>
          <w:numId w:val="4"/>
        </w:numPr>
        <w:rPr>
          <w:lang w:eastAsia="en-CA"/>
        </w:rPr>
      </w:pPr>
      <w:r>
        <w:rPr>
          <w:lang w:eastAsia="en-CA"/>
        </w:rPr>
        <w:t>Détenir une bonne capacité d’initiative et être polyvalent ;</w:t>
      </w:r>
    </w:p>
    <w:p>
      <w:pPr>
        <w:pStyle w:val="Normal"/>
        <w:numPr>
          <w:ilvl w:val="0"/>
          <w:numId w:val="4"/>
        </w:numPr>
        <w:rPr>
          <w:lang w:eastAsia="en-CA"/>
        </w:rPr>
      </w:pPr>
      <w:r>
        <w:rPr>
          <w:lang w:eastAsia="en-CA"/>
        </w:rPr>
        <w:t>Avoir un bon sens de l’organisation, de la gestion du temps et des priorités ;</w:t>
      </w:r>
    </w:p>
    <w:p>
      <w:pPr>
        <w:pStyle w:val="Normal"/>
        <w:numPr>
          <w:ilvl w:val="0"/>
          <w:numId w:val="4"/>
        </w:numPr>
        <w:rPr>
          <w:lang w:eastAsia="en-CA"/>
        </w:rPr>
      </w:pPr>
      <w:r>
        <w:rPr>
          <w:b/>
          <w:bCs/>
          <w:lang w:eastAsia="en-CA"/>
        </w:rPr>
        <w:t>Cote de sécurité un atout</w:t>
      </w:r>
      <w:r>
        <w:rPr>
          <w:lang w:eastAsia="en-CA"/>
        </w:rPr>
        <w:t>.</w:t>
      </w:r>
    </w:p>
    <w:p>
      <w:pPr>
        <w:pStyle w:val="Heading2"/>
        <w:rPr>
          <w:rFonts w:eastAsia="Calibri" w:eastAsiaTheme="minorHAnsi"/>
          <w:lang w:eastAsia="en-CA"/>
        </w:rPr>
      </w:pPr>
      <w:r>
        <w:rPr>
          <w:rFonts w:eastAsia="Calibri" w:eastAsiaTheme="minorHAnsi"/>
          <w:lang w:eastAsia="en-CA"/>
        </w:rPr>
      </w:r>
    </w:p>
    <w:tbl>
      <w:tblPr>
        <w:tblStyle w:val="Grilledutableau"/>
        <w:tblW w:w="1007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154"/>
        <w:gridCol w:w="7916"/>
      </w:tblGrid>
      <w:tr>
        <w:trPr/>
        <w:tc>
          <w:tcPr>
            <w:tcW w:w="2154" w:type="dxa"/>
            <w:tcBorders>
              <w:top w:val="nil"/>
              <w:start w:val="nil"/>
              <w:bottom w:val="nil"/>
              <w:end w:val="nil"/>
            </w:tcBorders>
          </w:tcPr>
          <w:p>
            <w:pPr>
              <w:pStyle w:val="Heading2"/>
              <w:widowControl/>
              <w:spacing w:before="40" w:after="0"/>
              <w:rPr>
                <w:rFonts w:eastAsia="Calibri" w:eastAsiaTheme="minorHAnsi"/>
                <w:lang w:eastAsia="en-CA"/>
              </w:rPr>
            </w:pPr>
            <w:r>
              <w:rPr>
                <w:rFonts w:eastAsia="Calibri" w:eastAsiaTheme="minorHAnsi"/>
                <w:kern w:val="0"/>
                <w:sz w:val="22"/>
                <w:lang w:val="fr-CA" w:eastAsia="en-CA" w:bidi="ar-SA"/>
              </w:rPr>
              <w:t>Type d’emploi : </w:t>
            </w:r>
          </w:p>
        </w:tc>
        <w:tc>
          <w:tcPr>
            <w:tcW w:w="7916" w:type="dxa"/>
            <w:tcBorders>
              <w:top w:val="nil"/>
              <w:start w:val="nil"/>
              <w:bottom w:val="nil"/>
              <w:end w:val="nil"/>
            </w:tcBorders>
          </w:tcPr>
          <w:p>
            <w:pPr>
              <w:pStyle w:val="Normal"/>
              <w:widowControl/>
              <w:spacing w:before="0" w:after="0"/>
              <w:rPr>
                <w:lang w:eastAsia="en-CA"/>
              </w:rPr>
            </w:pPr>
            <w:r>
              <w:rPr>
                <w:rFonts w:eastAsia="Calibri" w:cs=""/>
                <w:kern w:val="0"/>
                <w:sz w:val="22"/>
                <w:szCs w:val="22"/>
                <w:lang w:val="fr-CA" w:eastAsia="en-CA" w:bidi="ar-SA"/>
              </w:rPr>
              <w:t>Temps complet/Contractuel</w:t>
            </w:r>
          </w:p>
        </w:tc>
      </w:tr>
      <w:tr>
        <w:trPr/>
        <w:tc>
          <w:tcPr>
            <w:tcW w:w="2154" w:type="dxa"/>
            <w:tcBorders>
              <w:top w:val="nil"/>
              <w:start w:val="nil"/>
              <w:bottom w:val="nil"/>
              <w:end w:val="nil"/>
            </w:tcBorders>
          </w:tcPr>
          <w:p>
            <w:pPr>
              <w:pStyle w:val="Heading2"/>
              <w:widowControl/>
              <w:spacing w:before="40" w:after="0"/>
              <w:rPr>
                <w:lang w:eastAsia="en-CA"/>
              </w:rPr>
            </w:pPr>
            <w:r>
              <w:rPr>
                <w:kern w:val="0"/>
                <w:sz w:val="22"/>
                <w:lang w:val="fr-CA" w:eastAsia="en-CA" w:bidi="ar-SA"/>
              </w:rPr>
              <w:t>Durée du contrat :</w:t>
            </w:r>
          </w:p>
        </w:tc>
        <w:tc>
          <w:tcPr>
            <w:tcW w:w="7916" w:type="dxa"/>
            <w:tcBorders>
              <w:top w:val="nil"/>
              <w:start w:val="nil"/>
              <w:bottom w:val="nil"/>
              <w:end w:val="nil"/>
            </w:tcBorders>
          </w:tcPr>
          <w:p>
            <w:pPr>
              <w:pStyle w:val="Normal"/>
              <w:widowControl/>
              <w:spacing w:before="0" w:after="0"/>
              <w:rPr>
                <w:lang w:eastAsia="en-CA"/>
              </w:rPr>
            </w:pPr>
            <w:r>
              <w:rPr>
                <w:rFonts w:eastAsia="Calibri" w:cs=""/>
                <w:kern w:val="0"/>
                <w:sz w:val="22"/>
                <w:szCs w:val="22"/>
                <w:lang w:val="fr-CA" w:eastAsia="en-CA" w:bidi="ar-SA"/>
              </w:rPr>
              <w:t>Minimalement 31 mars 2028.</w:t>
            </w:r>
          </w:p>
        </w:tc>
      </w:tr>
      <w:tr>
        <w:trPr/>
        <w:tc>
          <w:tcPr>
            <w:tcW w:w="2154" w:type="dxa"/>
            <w:tcBorders>
              <w:top w:val="nil"/>
              <w:start w:val="nil"/>
              <w:bottom w:val="nil"/>
              <w:end w:val="nil"/>
            </w:tcBorders>
          </w:tcPr>
          <w:p>
            <w:pPr>
              <w:pStyle w:val="Heading2"/>
              <w:widowControl/>
              <w:spacing w:before="40" w:after="0"/>
              <w:rPr>
                <w:lang w:eastAsia="en-CA"/>
              </w:rPr>
            </w:pPr>
            <w:r>
              <w:rPr>
                <w:kern w:val="0"/>
                <w:sz w:val="22"/>
                <w:lang w:val="fr-CA" w:eastAsia="en-CA" w:bidi="ar-SA"/>
              </w:rPr>
              <w:t>Salaire offert : </w:t>
            </w:r>
          </w:p>
        </w:tc>
        <w:tc>
          <w:tcPr>
            <w:tcW w:w="7916" w:type="dxa"/>
            <w:tcBorders>
              <w:top w:val="nil"/>
              <w:start w:val="nil"/>
              <w:bottom w:val="nil"/>
              <w:end w:val="nil"/>
            </w:tcBorders>
          </w:tcPr>
          <w:p>
            <w:pPr>
              <w:pStyle w:val="Normal"/>
              <w:widowControl/>
              <w:spacing w:before="0" w:after="0"/>
              <w:rPr>
                <w:lang w:eastAsia="en-CA"/>
              </w:rPr>
            </w:pPr>
            <w:r>
              <w:rPr>
                <w:rFonts w:eastAsia="Calibri" w:cs=""/>
                <w:kern w:val="0"/>
                <w:sz w:val="22"/>
                <w:szCs w:val="22"/>
                <w:lang w:val="fr-CA" w:eastAsia="en-CA" w:bidi="ar-SA"/>
              </w:rPr>
              <w:t>25,72 $ de l’heure</w:t>
            </w:r>
          </w:p>
        </w:tc>
      </w:tr>
      <w:tr>
        <w:trPr/>
        <w:tc>
          <w:tcPr>
            <w:tcW w:w="2154" w:type="dxa"/>
            <w:tcBorders>
              <w:top w:val="nil"/>
              <w:start w:val="nil"/>
              <w:bottom w:val="nil"/>
              <w:end w:val="nil"/>
            </w:tcBorders>
          </w:tcPr>
          <w:p>
            <w:pPr>
              <w:pStyle w:val="Heading2"/>
              <w:widowControl/>
              <w:spacing w:before="40" w:after="0"/>
              <w:rPr>
                <w:lang w:eastAsia="en-CA"/>
              </w:rPr>
            </w:pPr>
            <w:r>
              <w:rPr>
                <w:kern w:val="0"/>
                <w:sz w:val="22"/>
                <w:lang w:val="fr-CA" w:eastAsia="en-CA" w:bidi="ar-SA"/>
              </w:rPr>
              <w:t>Avantages :</w:t>
            </w:r>
          </w:p>
        </w:tc>
        <w:tc>
          <w:tcPr>
            <w:tcW w:w="7916" w:type="dxa"/>
            <w:tcBorders>
              <w:top w:val="nil"/>
              <w:start w:val="nil"/>
              <w:bottom w:val="nil"/>
              <w:end w:val="nil"/>
            </w:tcBorders>
          </w:tcPr>
          <w:p>
            <w:pPr>
              <w:pStyle w:val="ListParagraph"/>
              <w:widowControl/>
              <w:numPr>
                <w:ilvl w:val="0"/>
                <w:numId w:val="2"/>
              </w:numPr>
              <w:spacing w:before="0" w:after="0"/>
              <w:contextualSpacing/>
              <w:rPr>
                <w:lang w:eastAsia="en-CA"/>
              </w:rPr>
            </w:pPr>
            <w:r>
              <w:rPr>
                <w:rFonts w:eastAsia="Calibri" w:cs=""/>
                <w:kern w:val="0"/>
                <w:sz w:val="22"/>
                <w:szCs w:val="22"/>
                <w:lang w:val="fr-CA" w:eastAsia="en-CA" w:bidi="ar-SA"/>
              </w:rPr>
              <w:t>Aide au Transport Quotidien</w:t>
            </w:r>
          </w:p>
          <w:p>
            <w:pPr>
              <w:pStyle w:val="ListParagraph"/>
              <w:widowControl/>
              <w:numPr>
                <w:ilvl w:val="0"/>
                <w:numId w:val="2"/>
              </w:numPr>
              <w:spacing w:before="0" w:after="0"/>
              <w:contextualSpacing/>
              <w:rPr>
                <w:lang w:eastAsia="en-CA"/>
              </w:rPr>
            </w:pPr>
            <w:r>
              <w:rPr>
                <w:rFonts w:eastAsia="Calibri" w:cs=""/>
                <w:kern w:val="0"/>
                <w:sz w:val="22"/>
                <w:szCs w:val="22"/>
                <w:lang w:val="fr-CA" w:eastAsia="en-CA" w:bidi="ar-SA"/>
              </w:rPr>
              <w:t>Assurance Maladie Complémentaire</w:t>
            </w:r>
          </w:p>
          <w:p>
            <w:pPr>
              <w:pStyle w:val="ListParagraph"/>
              <w:widowControl/>
              <w:numPr>
                <w:ilvl w:val="0"/>
                <w:numId w:val="2"/>
              </w:numPr>
              <w:spacing w:before="0" w:after="0"/>
              <w:contextualSpacing/>
              <w:rPr>
                <w:lang w:eastAsia="en-CA"/>
              </w:rPr>
            </w:pPr>
            <w:r>
              <w:rPr>
                <w:rFonts w:eastAsia="Calibri" w:cs=""/>
                <w:kern w:val="0"/>
                <w:sz w:val="22"/>
                <w:szCs w:val="22"/>
                <w:lang w:val="fr-CA" w:eastAsia="en-CA" w:bidi="ar-SA"/>
              </w:rPr>
              <w:t>Assurance Vie</w:t>
            </w:r>
          </w:p>
          <w:p>
            <w:pPr>
              <w:pStyle w:val="ListParagraph"/>
              <w:widowControl/>
              <w:numPr>
                <w:ilvl w:val="0"/>
                <w:numId w:val="2"/>
              </w:numPr>
              <w:spacing w:before="0" w:after="0"/>
              <w:contextualSpacing/>
              <w:rPr>
                <w:lang w:eastAsia="en-CA"/>
              </w:rPr>
            </w:pPr>
            <w:r>
              <w:rPr>
                <w:rFonts w:eastAsia="Calibri" w:cs=""/>
                <w:kern w:val="0"/>
                <w:sz w:val="22"/>
                <w:szCs w:val="22"/>
                <w:lang w:val="fr-CA" w:eastAsia="en-CA" w:bidi="ar-SA"/>
              </w:rPr>
              <w:t>Congés payés</w:t>
            </w:r>
          </w:p>
          <w:p>
            <w:pPr>
              <w:pStyle w:val="ListParagraph"/>
              <w:widowControl/>
              <w:numPr>
                <w:ilvl w:val="0"/>
                <w:numId w:val="2"/>
              </w:numPr>
              <w:spacing w:before="0" w:after="0"/>
              <w:contextualSpacing/>
              <w:rPr>
                <w:lang w:eastAsia="en-CA"/>
              </w:rPr>
            </w:pPr>
            <w:r>
              <w:rPr>
                <w:rFonts w:eastAsia="Calibri" w:cs=""/>
                <w:kern w:val="0"/>
                <w:sz w:val="22"/>
                <w:szCs w:val="22"/>
                <w:lang w:val="fr-CA" w:eastAsia="en-CA" w:bidi="ar-SA"/>
              </w:rPr>
              <w:t>Horaires flexibles</w:t>
            </w:r>
          </w:p>
          <w:p>
            <w:pPr>
              <w:pStyle w:val="Normal"/>
              <w:widowControl/>
              <w:spacing w:before="0" w:after="0"/>
              <w:rPr>
                <w:lang w:eastAsia="en-CA"/>
              </w:rPr>
            </w:pPr>
            <w:r>
              <w:rPr>
                <w:rFonts w:eastAsia="Calibri" w:cs=""/>
                <w:kern w:val="0"/>
                <w:sz w:val="22"/>
                <w:szCs w:val="22"/>
                <w:lang w:val="fr-CA" w:eastAsia="en-CA" w:bidi="ar-SA"/>
              </w:rPr>
            </w:r>
          </w:p>
        </w:tc>
      </w:tr>
      <w:tr>
        <w:trPr/>
        <w:tc>
          <w:tcPr>
            <w:tcW w:w="2154" w:type="dxa"/>
            <w:tcBorders>
              <w:top w:val="nil"/>
              <w:start w:val="nil"/>
              <w:bottom w:val="nil"/>
              <w:end w:val="nil"/>
            </w:tcBorders>
          </w:tcPr>
          <w:p>
            <w:pPr>
              <w:pStyle w:val="Heading2"/>
              <w:widowControl/>
              <w:spacing w:before="40" w:after="0"/>
              <w:rPr>
                <w:lang w:eastAsia="en-CA"/>
              </w:rPr>
            </w:pPr>
            <w:r>
              <w:rPr>
                <w:kern w:val="0"/>
                <w:sz w:val="22"/>
                <w:lang w:val="fr-CA" w:eastAsia="en-CA" w:bidi="ar-SA"/>
              </w:rPr>
              <w:t>Horaire de travail :</w:t>
            </w:r>
          </w:p>
        </w:tc>
        <w:tc>
          <w:tcPr>
            <w:tcW w:w="7916" w:type="dxa"/>
            <w:tcBorders>
              <w:top w:val="nil"/>
              <w:start w:val="nil"/>
              <w:bottom w:val="nil"/>
              <w:end w:val="nil"/>
            </w:tcBorders>
          </w:tcPr>
          <w:p>
            <w:pPr>
              <w:pStyle w:val="ListParagraph"/>
              <w:widowControl/>
              <w:numPr>
                <w:ilvl w:val="0"/>
                <w:numId w:val="2"/>
              </w:numPr>
              <w:spacing w:before="0" w:after="0"/>
              <w:contextualSpacing/>
              <w:rPr>
                <w:lang w:eastAsia="en-CA"/>
              </w:rPr>
            </w:pPr>
            <w:r>
              <w:rPr>
                <w:rFonts w:eastAsia="Calibri" w:cs=""/>
                <w:kern w:val="0"/>
                <w:sz w:val="22"/>
                <w:szCs w:val="22"/>
                <w:lang w:val="fr-CA" w:eastAsia="en-CA" w:bidi="ar-SA"/>
              </w:rPr>
              <w:t>35 Heures</w:t>
            </w:r>
          </w:p>
          <w:p>
            <w:pPr>
              <w:pStyle w:val="ListParagraph"/>
              <w:widowControl/>
              <w:numPr>
                <w:ilvl w:val="0"/>
                <w:numId w:val="2"/>
              </w:numPr>
              <w:spacing w:before="0" w:after="0"/>
              <w:contextualSpacing/>
              <w:rPr>
                <w:lang w:eastAsia="en-CA"/>
              </w:rPr>
            </w:pPr>
            <w:r>
              <w:rPr>
                <w:rFonts w:eastAsia="Calibri" w:cs=""/>
                <w:kern w:val="0"/>
                <w:sz w:val="22"/>
                <w:szCs w:val="22"/>
                <w:lang w:val="fr-CA" w:eastAsia="en-CA" w:bidi="ar-SA"/>
              </w:rPr>
              <w:t>Du Lundi au Vendredi</w:t>
            </w:r>
          </w:p>
          <w:p>
            <w:pPr>
              <w:pStyle w:val="ListParagraph"/>
              <w:widowControl/>
              <w:numPr>
                <w:ilvl w:val="0"/>
                <w:numId w:val="2"/>
              </w:numPr>
              <w:spacing w:before="0" w:after="0"/>
              <w:contextualSpacing/>
              <w:rPr>
                <w:lang w:eastAsia="en-CA"/>
              </w:rPr>
            </w:pPr>
            <w:r>
              <w:rPr>
                <w:rFonts w:eastAsia="Calibri" w:cs=""/>
                <w:kern w:val="0"/>
                <w:sz w:val="22"/>
                <w:szCs w:val="22"/>
                <w:lang w:val="fr-CA" w:eastAsia="en-CA" w:bidi="ar-SA"/>
              </w:rPr>
              <w:t>Fins de semaine au besoin</w:t>
            </w:r>
          </w:p>
          <w:p>
            <w:pPr>
              <w:pStyle w:val="Normal"/>
              <w:widowControl/>
              <w:spacing w:before="0" w:after="0"/>
              <w:rPr>
                <w:lang w:eastAsia="en-CA"/>
              </w:rPr>
            </w:pPr>
            <w:r>
              <w:rPr>
                <w:rFonts w:eastAsia="Calibri" w:cs=""/>
                <w:kern w:val="0"/>
                <w:sz w:val="22"/>
                <w:szCs w:val="22"/>
                <w:lang w:val="fr-CA" w:eastAsia="en-CA" w:bidi="ar-SA"/>
              </w:rPr>
            </w:r>
          </w:p>
        </w:tc>
      </w:tr>
      <w:tr>
        <w:trPr/>
        <w:tc>
          <w:tcPr>
            <w:tcW w:w="2154" w:type="dxa"/>
            <w:tcBorders>
              <w:top w:val="nil"/>
              <w:start w:val="nil"/>
              <w:bottom w:val="nil"/>
              <w:end w:val="nil"/>
            </w:tcBorders>
          </w:tcPr>
          <w:p>
            <w:pPr>
              <w:pStyle w:val="Heading2"/>
              <w:widowControl/>
              <w:spacing w:before="40" w:after="0"/>
              <w:rPr>
                <w:lang w:eastAsia="en-CA"/>
              </w:rPr>
            </w:pPr>
            <w:r>
              <w:rPr>
                <w:kern w:val="0"/>
                <w:sz w:val="22"/>
                <w:lang w:val="fr-CA" w:eastAsia="en-CA" w:bidi="ar-SA"/>
              </w:rPr>
              <w:t>Lieu :</w:t>
            </w:r>
          </w:p>
        </w:tc>
        <w:tc>
          <w:tcPr>
            <w:tcW w:w="7916" w:type="dxa"/>
            <w:tcBorders>
              <w:top w:val="nil"/>
              <w:start w:val="nil"/>
              <w:bottom w:val="nil"/>
              <w:end w:val="nil"/>
            </w:tcBorders>
          </w:tcPr>
          <w:p>
            <w:pPr>
              <w:pStyle w:val="Normal"/>
              <w:widowControl/>
              <w:spacing w:before="0" w:after="0"/>
              <w:rPr>
                <w:lang w:eastAsia="en-CA"/>
              </w:rPr>
            </w:pPr>
            <w:r>
              <w:rPr>
                <w:rFonts w:eastAsia="Calibri" w:cs=""/>
                <w:kern w:val="0"/>
                <w:sz w:val="22"/>
                <w:szCs w:val="22"/>
                <w:lang w:val="fr-CA" w:eastAsia="en-CA" w:bidi="ar-SA"/>
              </w:rPr>
              <w:t>Montréal - Présentiel</w:t>
            </w:r>
          </w:p>
        </w:tc>
      </w:tr>
    </w:tbl>
    <w:p>
      <w:pPr>
        <w:pStyle w:val="Normal"/>
        <w:rPr>
          <w:lang w:eastAsia="en-CA"/>
        </w:rPr>
      </w:pPr>
      <w:r>
        <w:rPr>
          <w:lang w:eastAsia="en-CA"/>
        </w:rPr>
      </w:r>
    </w:p>
    <w:p>
      <w:pPr>
        <w:pStyle w:val="Normal"/>
        <w:rPr>
          <w:lang w:eastAsia="en-CA"/>
        </w:rPr>
      </w:pPr>
      <w:r>
        <w:rPr>
          <w:lang w:eastAsia="en-CA"/>
        </w:rPr>
      </w:r>
    </w:p>
    <w:p>
      <w:pPr>
        <w:pStyle w:val="Normal"/>
        <w:spacing w:before="0" w:after="0"/>
        <w:ind w:end="594"/>
        <w:rPr>
          <w:rFonts w:eastAsia="Malgun Gothic Semilight" w:cs="Arial"/>
        </w:rPr>
      </w:pPr>
      <w:r>
        <w:rPr>
          <w:rFonts w:eastAsia="Malgun Gothic Semilight" w:cs="Arial"/>
        </w:rPr>
      </w:r>
    </w:p>
    <w:sectPr>
      <w:headerReference w:type="even" r:id="rId3"/>
      <w:headerReference w:type="default" r:id="rId4"/>
      <w:headerReference w:type="first" r:id="rId5"/>
      <w:type w:val="nextPage"/>
      <w:pgSz w:w="12240" w:h="15840"/>
      <w:pgMar w:left="1080" w:right="1080" w:gutter="0" w:header="706"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44162398"/>
    </w:sdtPr>
    <w:sdtContent>
      <w:p>
        <w:pPr>
          <w:pStyle w:val="Header"/>
          <w:jc w:val="center"/>
          <w:rPr/>
        </w:pPr>
        <w:r>
          <w:rPr/>
          <w:fldChar w:fldCharType="begin"/>
        </w:r>
        <w:r>
          <w:rPr/>
          <w:instrText xml:space="preserve"> PAGE </w:instrText>
        </w:r>
        <w:r>
          <w:rPr/>
          <w:fldChar w:fldCharType="separate"/>
        </w:r>
        <w:r>
          <w:rPr/>
          <w:t>3</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decimal"/>
      <w:lvlText w:val="%1."/>
      <w:lvlJc w:val="start"/>
      <w:pPr>
        <w:tabs>
          <w:tab w:val="num" w:pos="0"/>
        </w:tabs>
        <w:ind w:start="624" w:hanging="624"/>
      </w:pPr>
      <w:rPr/>
    </w:lvl>
    <w:lvl w:ilvl="1">
      <w:start w:val="1"/>
      <w:isLgl/>
      <w:numFmt w:val="decimal"/>
      <w:lvlText w:val="%1.%2."/>
      <w:lvlJc w:val="start"/>
      <w:pPr>
        <w:tabs>
          <w:tab w:val="num" w:pos="0"/>
        </w:tabs>
        <w:ind w:start="2068" w:hanging="432"/>
      </w:pPr>
      <w:rPr>
        <w:b w:val="false"/>
        <w:bCs/>
      </w:rPr>
    </w:lvl>
    <w:lvl w:ilvl="2">
      <w:start w:val="1"/>
      <w:numFmt w:val="decimal"/>
      <w:lvlText w:val="%1.%2.%3."/>
      <w:lvlJc w:val="start"/>
      <w:pPr>
        <w:tabs>
          <w:tab w:val="num" w:pos="0"/>
        </w:tabs>
        <w:ind w:start="2500" w:hanging="504"/>
      </w:pPr>
      <w:rPr/>
    </w:lvl>
    <w:lvl w:ilvl="3">
      <w:start w:val="1"/>
      <w:numFmt w:val="decimal"/>
      <w:lvlText w:val="%1.%2.%3.%4."/>
      <w:lvlJc w:val="start"/>
      <w:pPr>
        <w:tabs>
          <w:tab w:val="num" w:pos="0"/>
        </w:tabs>
        <w:ind w:start="3004" w:hanging="648"/>
      </w:pPr>
      <w:rPr/>
    </w:lvl>
    <w:lvl w:ilvl="4">
      <w:start w:val="1"/>
      <w:numFmt w:val="decimal"/>
      <w:lvlText w:val="%1.%2.%3.%4.%5."/>
      <w:lvlJc w:val="start"/>
      <w:pPr>
        <w:tabs>
          <w:tab w:val="num" w:pos="0"/>
        </w:tabs>
        <w:ind w:start="3508" w:hanging="792"/>
      </w:pPr>
      <w:rPr/>
    </w:lvl>
    <w:lvl w:ilvl="5">
      <w:start w:val="1"/>
      <w:numFmt w:val="decimal"/>
      <w:lvlText w:val="%1.%2.%3.%4.%5.%6."/>
      <w:lvlJc w:val="start"/>
      <w:pPr>
        <w:tabs>
          <w:tab w:val="num" w:pos="0"/>
        </w:tabs>
        <w:ind w:start="4012" w:hanging="936"/>
      </w:pPr>
      <w:rPr/>
    </w:lvl>
    <w:lvl w:ilvl="6">
      <w:start w:val="1"/>
      <w:numFmt w:val="decimal"/>
      <w:lvlText w:val="%1.%2.%3.%4.%5.%6.%7."/>
      <w:lvlJc w:val="start"/>
      <w:pPr>
        <w:tabs>
          <w:tab w:val="num" w:pos="0"/>
        </w:tabs>
        <w:ind w:start="4516" w:hanging="1080"/>
      </w:pPr>
      <w:rPr/>
    </w:lvl>
    <w:lvl w:ilvl="7">
      <w:start w:val="1"/>
      <w:numFmt w:val="decimal"/>
      <w:lvlText w:val="%1.%2.%3.%4.%5.%6.%7.%8."/>
      <w:lvlJc w:val="start"/>
      <w:pPr>
        <w:tabs>
          <w:tab w:val="num" w:pos="0"/>
        </w:tabs>
        <w:ind w:start="5020" w:hanging="1224"/>
      </w:pPr>
      <w:rPr/>
    </w:lvl>
    <w:lvl w:ilvl="8">
      <w:start w:val="1"/>
      <w:numFmt w:val="decimal"/>
      <w:lvlText w:val="%1.%2.%3.%4.%5.%6.%7.%8.%9."/>
      <w:lvlJc w:val="start"/>
      <w:pPr>
        <w:tabs>
          <w:tab w:val="num" w:pos="0"/>
        </w:tabs>
        <w:ind w:start="5596" w:hanging="1440"/>
      </w:pPr>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C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5ed8"/>
    <w:pPr>
      <w:widowControl/>
      <w:bidi w:val="0"/>
      <w:spacing w:lineRule="auto" w:line="240" w:before="0" w:after="200"/>
      <w:jc w:val="both"/>
    </w:pPr>
    <w:rPr>
      <w:rFonts w:ascii="Arial" w:hAnsi="Arial" w:eastAsia="Calibri" w:cs="" w:cstheme="minorBidi" w:eastAsiaTheme="minorHAnsi"/>
      <w:color w:val="auto"/>
      <w:kern w:val="0"/>
      <w:sz w:val="22"/>
      <w:szCs w:val="22"/>
      <w:lang w:val="fr-CA" w:eastAsia="en-US" w:bidi="ar-SA"/>
    </w:rPr>
  </w:style>
  <w:style w:type="paragraph" w:styleId="Heading1">
    <w:name w:val="heading 1"/>
    <w:basedOn w:val="Normal"/>
    <w:next w:val="Normal"/>
    <w:link w:val="Titre1Car"/>
    <w:uiPriority w:val="9"/>
    <w:qFormat/>
    <w:rsid w:val="00dd1d8c"/>
    <w:pPr>
      <w:keepNext w:val="true"/>
      <w:keepLines/>
      <w:spacing w:before="240" w:after="0"/>
      <w:outlineLvl w:val="0"/>
    </w:pPr>
    <w:rPr>
      <w:rFonts w:eastAsia="" w:cs="" w:cstheme="majorBidi" w:eastAsiaTheme="majorEastAsia"/>
      <w:b/>
      <w:color w:themeColor="accent1" w:themeShade="bf" w:val="365F91"/>
      <w:szCs w:val="32"/>
    </w:rPr>
  </w:style>
  <w:style w:type="paragraph" w:styleId="Heading2">
    <w:name w:val="heading 2"/>
    <w:basedOn w:val="Normal"/>
    <w:next w:val="Normal"/>
    <w:link w:val="Titre2Car"/>
    <w:uiPriority w:val="9"/>
    <w:unhideWhenUsed/>
    <w:qFormat/>
    <w:rsid w:val="007e5ed8"/>
    <w:pPr>
      <w:keepNext w:val="true"/>
      <w:keepLines/>
      <w:spacing w:before="40" w:after="0"/>
      <w:outlineLvl w:val="1"/>
    </w:pPr>
    <w:rPr>
      <w:rFonts w:eastAsia="" w:cs="" w:cstheme="majorBidi" w:eastAsiaTheme="majorEastAsia"/>
      <w:color w:themeColor="accent1" w:themeShade="bf" w:val="365F91"/>
      <w:szCs w:val="26"/>
    </w:rPr>
  </w:style>
  <w:style w:type="character" w:styleId="DefaultParagraphFont" w:default="1">
    <w:name w:val="Default Paragraph Font"/>
    <w:uiPriority w:val="1"/>
    <w:semiHidden/>
    <w:unhideWhenUsed/>
    <w:qFormat/>
    <w:rPr/>
  </w:style>
  <w:style w:type="character" w:styleId="Caractresdenotedebasdepage">
    <w:name w:val="Caractères de note de bas de page"/>
    <w:basedOn w:val="DefaultParagraphFont"/>
    <w:uiPriority w:val="99"/>
    <w:semiHidden/>
    <w:unhideWhenUsed/>
    <w:qFormat/>
    <w:rsid w:val="000904d0"/>
    <w:rPr>
      <w:caps w:val="false"/>
      <w:smallCaps w:val="false"/>
      <w:strike w:val="false"/>
      <w:dstrike w:val="false"/>
      <w:vanish w:val="false"/>
      <w:vertAlign w:val="superscript"/>
    </w:rPr>
  </w:style>
  <w:style w:type="character" w:styleId="FootnoteReference">
    <w:name w:val="footnote reference"/>
    <w:rPr>
      <w:caps w:val="false"/>
      <w:smallCaps w:val="false"/>
      <w:strike w:val="false"/>
      <w:dstrike w:val="false"/>
      <w:vanish w:val="false"/>
      <w:vertAlign w:val="superscript"/>
    </w:rPr>
  </w:style>
  <w:style w:type="character" w:styleId="TextedebullesCar" w:customStyle="1">
    <w:name w:val="Texte de bulles Car"/>
    <w:basedOn w:val="DefaultParagraphFont"/>
    <w:link w:val="BalloonText"/>
    <w:uiPriority w:val="99"/>
    <w:semiHidden/>
    <w:qFormat/>
    <w:rsid w:val="00473927"/>
    <w:rPr>
      <w:rFonts w:ascii="Segoe UI" w:hAnsi="Segoe UI" w:cs="Segoe UI"/>
      <w:sz w:val="18"/>
      <w:szCs w:val="18"/>
    </w:rPr>
  </w:style>
  <w:style w:type="character" w:styleId="En-tteCar" w:customStyle="1">
    <w:name w:val="En-tête Car"/>
    <w:basedOn w:val="DefaultParagraphFont"/>
    <w:uiPriority w:val="99"/>
    <w:qFormat/>
    <w:rsid w:val="00473927"/>
    <w:rPr>
      <w:rFonts w:ascii="Arial" w:hAnsi="Arial"/>
    </w:rPr>
  </w:style>
  <w:style w:type="character" w:styleId="PieddepageCar" w:customStyle="1">
    <w:name w:val="Pied de page Car"/>
    <w:basedOn w:val="DefaultParagraphFont"/>
    <w:uiPriority w:val="99"/>
    <w:qFormat/>
    <w:rsid w:val="00473927"/>
    <w:rPr>
      <w:rFonts w:ascii="Arial" w:hAnsi="Arial"/>
    </w:rPr>
  </w:style>
  <w:style w:type="character" w:styleId="Hyperlink">
    <w:name w:val="Hyperlink"/>
    <w:basedOn w:val="DefaultParagraphFont"/>
    <w:uiPriority w:val="99"/>
    <w:unhideWhenUsed/>
    <w:rsid w:val="00473927"/>
    <w:rPr>
      <w:color w:themeColor="hyperlink" w:val="0000FF"/>
      <w:u w:val="single"/>
    </w:rPr>
  </w:style>
  <w:style w:type="character" w:styleId="UnresolvedMention">
    <w:name w:val="Unresolved Mention"/>
    <w:basedOn w:val="DefaultParagraphFont"/>
    <w:uiPriority w:val="99"/>
    <w:semiHidden/>
    <w:unhideWhenUsed/>
    <w:qFormat/>
    <w:rsid w:val="00473927"/>
    <w:rPr>
      <w:color w:val="605E5C"/>
      <w:shd w:fill="E1DFDD" w:val="clear"/>
    </w:rPr>
  </w:style>
  <w:style w:type="character" w:styleId="Sous-titreCar" w:customStyle="1">
    <w:name w:val="Sous-titre Car"/>
    <w:basedOn w:val="DefaultParagraphFont"/>
    <w:uiPriority w:val="11"/>
    <w:qFormat/>
    <w:rsid w:val="00b713d1"/>
    <w:rPr>
      <w:rFonts w:ascii="Arial" w:hAnsi="Arial" w:eastAsia="" w:eastAsiaTheme="minorEastAsia"/>
      <w:b/>
      <w:smallCaps/>
      <w:color w:themeColor="text1" w:val="000000"/>
      <w:spacing w:val="15"/>
    </w:rPr>
  </w:style>
  <w:style w:type="character" w:styleId="CommentReference">
    <w:name w:val="annotation reference"/>
    <w:basedOn w:val="DefaultParagraphFont"/>
    <w:uiPriority w:val="99"/>
    <w:semiHidden/>
    <w:unhideWhenUsed/>
    <w:qFormat/>
    <w:rsid w:val="003326d7"/>
    <w:rPr>
      <w:sz w:val="16"/>
      <w:szCs w:val="16"/>
    </w:rPr>
  </w:style>
  <w:style w:type="character" w:styleId="CommentaireCar" w:customStyle="1">
    <w:name w:val="Commentaire Car"/>
    <w:basedOn w:val="DefaultParagraphFont"/>
    <w:uiPriority w:val="99"/>
    <w:qFormat/>
    <w:rsid w:val="003326d7"/>
    <w:rPr>
      <w:rFonts w:ascii="Arial" w:hAnsi="Arial"/>
      <w:sz w:val="20"/>
      <w:szCs w:val="20"/>
    </w:rPr>
  </w:style>
  <w:style w:type="character" w:styleId="ObjetducommentaireCar" w:customStyle="1">
    <w:name w:val="Objet du commentaire Car"/>
    <w:basedOn w:val="CommentaireCar"/>
    <w:link w:val="annotationsubject"/>
    <w:uiPriority w:val="99"/>
    <w:semiHidden/>
    <w:qFormat/>
    <w:rsid w:val="003326d7"/>
    <w:rPr>
      <w:rFonts w:ascii="Arial" w:hAnsi="Arial"/>
      <w:b/>
      <w:bCs/>
      <w:sz w:val="20"/>
      <w:szCs w:val="20"/>
    </w:rPr>
  </w:style>
  <w:style w:type="character" w:styleId="Titre1Car" w:customStyle="1">
    <w:name w:val="Titre 1 Car"/>
    <w:basedOn w:val="DefaultParagraphFont"/>
    <w:uiPriority w:val="9"/>
    <w:qFormat/>
    <w:rsid w:val="00dd1d8c"/>
    <w:rPr>
      <w:rFonts w:ascii="Arial" w:hAnsi="Arial" w:eastAsia="" w:cs="" w:cstheme="majorBidi" w:eastAsiaTheme="majorEastAsia"/>
      <w:b/>
      <w:color w:themeColor="accent1" w:themeShade="bf" w:val="365F91"/>
      <w:szCs w:val="32"/>
    </w:rPr>
  </w:style>
  <w:style w:type="character" w:styleId="Titre2Car" w:customStyle="1">
    <w:name w:val="Titre 2 Car"/>
    <w:basedOn w:val="DefaultParagraphFont"/>
    <w:uiPriority w:val="9"/>
    <w:qFormat/>
    <w:rsid w:val="007e5ed8"/>
    <w:rPr>
      <w:rFonts w:ascii="Arial" w:hAnsi="Arial" w:eastAsia="" w:cs="" w:cstheme="majorBidi" w:eastAsiaTheme="majorEastAsia"/>
      <w:color w:themeColor="accent1" w:themeShade="bf" w:val="365F91"/>
      <w:szCs w:val="26"/>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TextedebullesCar"/>
    <w:uiPriority w:val="99"/>
    <w:semiHidden/>
    <w:unhideWhenUsed/>
    <w:qFormat/>
    <w:rsid w:val="00473927"/>
    <w:pPr>
      <w:spacing w:before="0" w:after="0"/>
    </w:pPr>
    <w:rPr>
      <w:rFonts w:ascii="Segoe UI" w:hAnsi="Segoe UI" w:cs="Segoe UI"/>
      <w:sz w:val="18"/>
      <w:szCs w:val="18"/>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473927"/>
    <w:pPr>
      <w:tabs>
        <w:tab w:val="clear" w:pos="708"/>
        <w:tab w:val="center" w:pos="4320" w:leader="none"/>
        <w:tab w:val="right" w:pos="8640" w:leader="none"/>
      </w:tabs>
      <w:spacing w:before="0" w:after="0"/>
    </w:pPr>
    <w:rPr/>
  </w:style>
  <w:style w:type="paragraph" w:styleId="Footer">
    <w:name w:val="footer"/>
    <w:basedOn w:val="Normal"/>
    <w:link w:val="PieddepageCar"/>
    <w:uiPriority w:val="99"/>
    <w:unhideWhenUsed/>
    <w:rsid w:val="00473927"/>
    <w:pPr>
      <w:tabs>
        <w:tab w:val="clear" w:pos="708"/>
        <w:tab w:val="center" w:pos="4320" w:leader="none"/>
        <w:tab w:val="right" w:pos="8640" w:leader="none"/>
      </w:tabs>
      <w:spacing w:before="0" w:after="0"/>
    </w:pPr>
    <w:rPr/>
  </w:style>
  <w:style w:type="paragraph" w:styleId="ListParagraph">
    <w:name w:val="List Paragraph"/>
    <w:basedOn w:val="Normal"/>
    <w:uiPriority w:val="34"/>
    <w:qFormat/>
    <w:rsid w:val="005e114f"/>
    <w:pPr>
      <w:spacing w:before="0" w:after="200"/>
      <w:ind w:start="720"/>
      <w:contextualSpacing/>
    </w:pPr>
    <w:rPr/>
  </w:style>
  <w:style w:type="paragraph" w:styleId="Subtitle">
    <w:name w:val="Subtitle"/>
    <w:basedOn w:val="Normal"/>
    <w:next w:val="Normal"/>
    <w:link w:val="Sous-titreCar"/>
    <w:uiPriority w:val="11"/>
    <w:qFormat/>
    <w:rsid w:val="00b713d1"/>
    <w:pPr>
      <w:spacing w:before="0" w:after="160"/>
    </w:pPr>
    <w:rPr>
      <w:rFonts w:eastAsia="" w:eastAsiaTheme="minorEastAsia"/>
      <w:b/>
      <w:smallCaps/>
      <w:color w:themeColor="text1" w:val="000000"/>
      <w:spacing w:val="15"/>
    </w:rPr>
  </w:style>
  <w:style w:type="paragraph" w:styleId="CommentText">
    <w:name w:val="annotation text"/>
    <w:basedOn w:val="Normal"/>
    <w:link w:val="CommentaireCar"/>
    <w:uiPriority w:val="99"/>
    <w:unhideWhenUsed/>
    <w:rsid w:val="003326d7"/>
    <w:pPr/>
    <w:rPr>
      <w:sz w:val="20"/>
      <w:szCs w:val="20"/>
    </w:rPr>
  </w:style>
  <w:style w:type="paragraph" w:styleId="annotationsubject">
    <w:name w:val="annotation subject"/>
    <w:basedOn w:val="CommentText"/>
    <w:next w:val="CommentText"/>
    <w:link w:val="ObjetducommentaireCar"/>
    <w:uiPriority w:val="99"/>
    <w:semiHidden/>
    <w:unhideWhenUsed/>
    <w:qFormat/>
    <w:rsid w:val="003326d7"/>
    <w:pPr/>
    <w:rPr>
      <w:b/>
      <w:bCs/>
    </w:rPr>
  </w:style>
  <w:style w:type="paragraph" w:styleId="JGTitreclause" w:customStyle="1">
    <w:name w:val="! JG Titre clause"/>
    <w:basedOn w:val="Normal"/>
    <w:qFormat/>
    <w:rsid w:val="00190778"/>
    <w:pPr>
      <w:keepNext w:val="true"/>
      <w:numPr>
        <w:ilvl w:val="0"/>
        <w:numId w:val="1"/>
      </w:numPr>
      <w:pBdr/>
      <w:spacing w:before="280" w:after="280"/>
      <w:ind w:hanging="425" w:start="425"/>
    </w:pPr>
    <w:rPr>
      <w:rFonts w:eastAsia="Arial Unicode MS" w:cs="Arial"/>
      <w:b/>
      <w:bCs/>
      <w:caps/>
      <w:color w:val="000000"/>
      <w:sz w:val="28"/>
      <w:szCs w:val="28"/>
      <w:lang w:val="pt-PT" w:eastAsia="fr-CA"/>
    </w:rPr>
  </w:style>
  <w:style w:type="paragraph" w:styleId="JGClause" w:customStyle="1">
    <w:name w:val="! JG Clause"/>
    <w:basedOn w:val="Normal"/>
    <w:qFormat/>
    <w:rsid w:val="00190778"/>
    <w:pPr>
      <w:keepLines/>
      <w:numPr>
        <w:ilvl w:val="1"/>
        <w:numId w:val="1"/>
      </w:numPr>
      <w:pBdr/>
      <w:tabs>
        <w:tab w:val="clear" w:pos="708"/>
        <w:tab w:val="left" w:pos="567" w:leader="none"/>
      </w:tabs>
      <w:spacing w:before="280" w:after="280"/>
    </w:pPr>
    <w:rPr>
      <w:rFonts w:eastAsia="Open Sans" w:cs="Arial"/>
      <w:color w:val="000000"/>
      <w:sz w:val="24"/>
      <w:szCs w:val="24"/>
      <w:lang w:val="pt-PT"/>
    </w:rPr>
  </w:style>
  <w:style w:type="paragraph" w:styleId="JGSous-clause" w:customStyle="1">
    <w:name w:val="! JG Sous-clause"/>
    <w:basedOn w:val="Normal"/>
    <w:qFormat/>
    <w:rsid w:val="00190778"/>
    <w:pPr>
      <w:numPr>
        <w:ilvl w:val="2"/>
        <w:numId w:val="1"/>
      </w:numPr>
      <w:pBdr/>
      <w:spacing w:before="0" w:after="120"/>
    </w:pPr>
    <w:rPr>
      <w:rFonts w:eastAsia="Arial Unicode MS" w:cs="Arial"/>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a23e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BF36D-8D45-444E-9C5D-4ED6A1A8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LibreOffice/25.8.1.1$Windows_X86_64 LibreOffice_project/54047653041915e595ad4e45cccea684809c77b5</Application>
  <AppVersion>15.0000</AppVersion>
  <Pages>3</Pages>
  <Words>858</Words>
  <Characters>4642</Characters>
  <CharactersWithSpaces>5412</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2026-02-26T18:50:00Z</dcterms:created>
  <dc:creator>Le Caroff Patricia</dc:creator>
  <dc:description/>
  <dc:language>fr-CA</dc:language>
  <cp:lastModifiedBy>Marie-Hélène Boucher</cp:lastModifiedBy>
  <cp:lastPrinted>2021-01-26T16:27:00Z</cp:lastPrinted>
  <dcterms:modified xsi:type="dcterms:W3CDTF">2026-02-26T18:50:00Z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19439ad0-1012-43e3-9b0f-9cf43699167b</vt:lpwstr>
  </property>
</Properties>
</file>